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255"/>
        <w:gridCol w:w="4905"/>
        <w:gridCol w:w="1485"/>
        <w:tblGridChange w:id="0">
          <w:tblGrid>
            <w:gridCol w:w="3255"/>
            <w:gridCol w:w="4905"/>
            <w:gridCol w:w="148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PROMOTORA/PROMOTORKI w procesie rekrutacji doktorantów oraz uczestników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i/lub OPIEKUNKI/OPIEKUNA NAUKOWEGO trybu eksternistycznego (tryb E) w Uniwersytecie  SWPS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promotora/promotorki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Dr Anzhela Popyk 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Nazwa centrum badawczego/grupy badawczej/grupy artystycznej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której należy promotor/promotorka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Młodzi w Centrum Lab 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Wykaz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apopyk@swps.edu.pl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ORCID: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720" w:right="170" w:hanging="5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https://orcid.org/0000-0003-4627-3517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720" w:right="170" w:hanging="5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Google Scholar: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https://scholar.google.com/citations?user=RGVoNgcAAAAJ&amp;hl=pl&amp;oi=ao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Wybrane publikacje: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 (2023). Skala i uwarunkowania przemocy rówieśniczej – wyniki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Diagnozy przemocy wobec dzieci w Polsce 2023. Dziecko Krzywdzone. Teoria,badania, praktyka, 22(4), 37–62.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Makaruk, K., Drabarek, K., Popyk, A., Wójcik, S. (2023). Diagnoza przemocy wobec dzieci w Polsce 2023. Fundacja Dajemy Dzieciom Siłę.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A., Lesińska, M. (2023). Imperative practices: The political inclusion of diasporas in Poland, Hungary and Lithuania. International Migration, online first. https://doi.org/10.1111/imig.13204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 (2023). The Priorities and Challenges of Diaspora Education Policies in Poland and Lithuania. Studia Migracyjne-Przegląd Polonijny, 2 (188)/2023. https://doi.org/10.4467/25444972SMPP.23.017.18631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 (2023). Polska szkoła oczami dzieci-migrantów. Od akceptacji do socjalizacji. Studia Migracyjne-Przegląd Polonijny, 1 (187), 53–70. https://doi.org/10.4467/25444972SMPP.22.021.16491 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 (2022). Anchors and Thresholds in the Formation of a Transnational Sense of Belonging of Migrant Children in Poland. Children's Geographies, 21(3),  459-472. https://doi.org/10.1080/14733285.2022.2075693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A., Pustułka, P. (2022). Educational Disadvantages During COVID-19 Pandemic Faced by Migrant Schoolchildren in Poland, Journal of International Migration and Integration, 24, 487–505. https://doi.org/10.1007/s12134-022-00953-2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 (2022). Key Trends and Practices in Diaspora Education PolicyMaking. Comparative Analysis of Three Countries: Poland, Lithuania and Hungary. CMR Working Papers, 128/186.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A., Lesińska, M., Dambrauskas, K. (2023). The Evolution of Post-Accession Diasporas and Diaspora Policies after 2004: a Comparative Analysis of Poland and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Lithuania. Journal of Baltic Studies.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Popyk, A., (2021). Home as a mixture of spaces during the COVID-19 pandemic: The case of migrant families in Poland. Kultura i Społeczeństwo, 3, 27-45. https://doi.org/10.35757/KiS.2021.65.3.2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Wybrane projekty badawcze: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Projekty badawcze: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880" w:right="1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NCN OPUS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Struktura a sprawczość.  Transnarodowe I szkolne tranzycje przymusowych dzieci migrantów w Polsce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880" w:right="17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NCN  Preludium CHILDTRAN. Rola aktorów socjalizacyjnych w tranzycjach transnarodowych dzieci migrantów w Polsce- PI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880" w:right="17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Futures of Ukraine: youth, mobility and post-war reconstruction -PI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 dla przyszłej rozprawy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Nauki socjologiczne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kierunków badawczych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Subdyscypliny: socjologia dzieciństwa, studia migracyjne, socjologia edukacji, uchodźców.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Metodologicznie specjalizuję się w badaniach jakościowych.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Jestem otwarta na różne tematy związane z młodymi migrantami lub rodziny z dziećmi z doświadczeniem migracyjnym i uchodźczym, system edukacji i polityka migracyjna.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promotor/opiekun naukowy byłby w stanie przyjąć w efekcie rekrutacji w r.a. 2024/2025: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Szkoły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(stypendium doktoranckie finansowane ze środków USWPS)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projektów lub grantów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badawczych krajowych i międzynarodowych (stypendium doktoranckie finansowane ze środków grantowych)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 (OPUS, którym kieruję)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programu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Doktorat wdrożeniowy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(stypendium doktoranckie finansowane ze środków MNiSW)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trybu eksternistycznego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brak stypendium doktoranckiego)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164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Szkole Doktorskiej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Interdyscyplinarnych Studiach Doktoranckich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right="170" w:firstLine="14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trybie eksternistycznym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164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dotychczas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doktoranckich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trybie, czyli w ramach studiów doktoranckich)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Kandydaci/kandydatki powinni/powinny skontaktować się z wybranymi przez siebie potencjalnymi promotorami/promotorkami którzy są członkami centrów i /lub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które powinien(-nna) spełnić kandydat(-ka) </w:t>
              <w:br w:type="textWrapping"/>
              <w:t xml:space="preserve">w zakresie: zainteresowań naukowych; kompetencji naukowych; dotychczasowych osiągnięć; znajomości języków obcych; kompetencji społecznych; dyspozycyjności, itp.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 Zainteresowania: socjologia dzieciństwa, studia migracyjne, edukacja, socjalizacja, rodziny w migracji.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Podstawowa wiedza na temat badań społecznych, edukacji.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Znajomość języka angielskiego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Chęć zaangażowania się w działania Młodych w Centrum Lab, gotowość do zdobywania doświadczenia w projektach naukowych toczących się w MwC Lab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kandydatem/kandydatką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Kontakt mailowy: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proszę podać adres e-mail:____apopyk@swps.edu.pl_____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proszę podać numer telefonu:________________________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⌧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(po wcześniejszym umówieniu e-mail/tel.)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D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kwalifikacyjnej z kandydatem/kandydatką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uniemożliwiającej kandydatom/-kom kontakt z potencjalnym promotorem/-ką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02-07.07.24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MS Gothic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rcid.org/0000-0003-4627-3517" TargetMode="External"/><Relationship Id="rId7" Type="http://schemas.openxmlformats.org/officeDocument/2006/relationships/hyperlink" Target="https://scholar.google.com/citations?user=RGVoNgcAAAAJ&amp;hl=pl&amp;oi=a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